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59D36" w14:textId="2B876288" w:rsidR="00DA34ED" w:rsidRPr="009374E9" w:rsidRDefault="005B5829" w:rsidP="009374E9">
      <w:pPr>
        <w:jc w:val="center"/>
        <w:rPr>
          <w:b/>
          <w:bCs/>
          <w:sz w:val="32"/>
          <w:szCs w:val="32"/>
        </w:rPr>
      </w:pPr>
      <w:r w:rsidRPr="005B5829">
        <w:rPr>
          <w:b/>
          <w:bCs/>
          <w:sz w:val="32"/>
          <w:szCs w:val="32"/>
        </w:rPr>
        <w:t>Recommendations to Return All Construction to Essential</w:t>
      </w:r>
    </w:p>
    <w:p w14:paraId="795401BC" w14:textId="1F9166E4" w:rsidR="00084828" w:rsidRDefault="00947F5C" w:rsidP="00DA34ED">
      <w:pPr>
        <w:pStyle w:val="Default"/>
        <w:rPr>
          <w:sz w:val="23"/>
          <w:szCs w:val="23"/>
        </w:rPr>
      </w:pPr>
      <w:r>
        <w:rPr>
          <w:sz w:val="23"/>
          <w:szCs w:val="23"/>
        </w:rPr>
        <w:t>The following recommendations are to help facilitate and r</w:t>
      </w:r>
      <w:r w:rsidR="00DA34ED" w:rsidRPr="00947F5C">
        <w:rPr>
          <w:sz w:val="23"/>
          <w:szCs w:val="23"/>
        </w:rPr>
        <w:t>estart existing construction projects</w:t>
      </w:r>
      <w:r w:rsidR="00757107">
        <w:rPr>
          <w:sz w:val="23"/>
          <w:szCs w:val="23"/>
        </w:rPr>
        <w:t xml:space="preserve"> beginning no later than May 16, 2020 and running through July 4, 2020 that were shut down due to being deemed non-essential</w:t>
      </w:r>
      <w:r>
        <w:rPr>
          <w:sz w:val="23"/>
          <w:szCs w:val="23"/>
        </w:rPr>
        <w:t>.  The projects will have onsite</w:t>
      </w:r>
      <w:r w:rsidR="00DA34ED" w:rsidRPr="00947F5C">
        <w:rPr>
          <w:sz w:val="23"/>
          <w:szCs w:val="23"/>
        </w:rPr>
        <w:t xml:space="preserve"> COVID-19 Safety Plans that allow work </w:t>
      </w:r>
      <w:r>
        <w:rPr>
          <w:sz w:val="23"/>
          <w:szCs w:val="23"/>
        </w:rPr>
        <w:t>to</w:t>
      </w:r>
      <w:r w:rsidR="00DA34ED" w:rsidRPr="00947F5C">
        <w:rPr>
          <w:sz w:val="23"/>
          <w:szCs w:val="23"/>
        </w:rPr>
        <w:t xml:space="preserve"> be performed meeting social distancing requirements</w:t>
      </w:r>
      <w:r>
        <w:rPr>
          <w:sz w:val="23"/>
          <w:szCs w:val="23"/>
        </w:rPr>
        <w:t xml:space="preserve"> and safety practices to keep employees, worksites and the public safe</w:t>
      </w:r>
      <w:r w:rsidR="00DA34ED" w:rsidRPr="00947F5C">
        <w:rPr>
          <w:sz w:val="23"/>
          <w:szCs w:val="23"/>
        </w:rPr>
        <w:t xml:space="preserve">. </w:t>
      </w:r>
    </w:p>
    <w:p w14:paraId="668BF496" w14:textId="2890B4E4" w:rsidR="00757107" w:rsidRDefault="00757107" w:rsidP="00DA34ED">
      <w:pPr>
        <w:pStyle w:val="Default"/>
        <w:rPr>
          <w:sz w:val="23"/>
          <w:szCs w:val="23"/>
        </w:rPr>
      </w:pPr>
    </w:p>
    <w:p w14:paraId="5278442D" w14:textId="41E7BB4C" w:rsidR="00757107" w:rsidRPr="00947F5C" w:rsidRDefault="00757107" w:rsidP="00DA34ED">
      <w:pPr>
        <w:pStyle w:val="Default"/>
        <w:rPr>
          <w:sz w:val="23"/>
          <w:szCs w:val="23"/>
        </w:rPr>
      </w:pPr>
      <w:r>
        <w:rPr>
          <w:sz w:val="23"/>
          <w:szCs w:val="23"/>
        </w:rPr>
        <w:t>There are two approaches that will help ensure the greatest level of prevention and protection for the employees, job sites and the general public.  Step One will be general procedures and requirements to implement safety plans and best practices.  Step Two will be controlling the density of the workforce on sites re-starting and resuming.</w:t>
      </w:r>
    </w:p>
    <w:p w14:paraId="2A36E676" w14:textId="77777777" w:rsidR="00947F5C" w:rsidRDefault="00947F5C" w:rsidP="00DA34ED">
      <w:pPr>
        <w:pStyle w:val="Default"/>
      </w:pPr>
    </w:p>
    <w:p w14:paraId="267A4AB3" w14:textId="01AB812E" w:rsidR="005B5829" w:rsidRPr="009374E9" w:rsidRDefault="00757107" w:rsidP="00084828">
      <w:pPr>
        <w:pStyle w:val="Default"/>
        <w:rPr>
          <w:b/>
          <w:bCs/>
          <w:sz w:val="28"/>
          <w:szCs w:val="28"/>
        </w:rPr>
      </w:pPr>
      <w:r>
        <w:rPr>
          <w:b/>
          <w:bCs/>
          <w:sz w:val="28"/>
          <w:szCs w:val="28"/>
        </w:rPr>
        <w:t xml:space="preserve">STEP ONE: </w:t>
      </w:r>
      <w:r w:rsidR="005B5829" w:rsidRPr="005B5829">
        <w:rPr>
          <w:b/>
          <w:bCs/>
          <w:sz w:val="28"/>
          <w:szCs w:val="28"/>
        </w:rPr>
        <w:t>General Procedures and Requirements:</w:t>
      </w:r>
    </w:p>
    <w:p w14:paraId="28681F0C" w14:textId="6B438706" w:rsidR="009F4CAA" w:rsidRDefault="009F4CAA" w:rsidP="005B5829">
      <w:pPr>
        <w:pStyle w:val="ListParagraph"/>
        <w:numPr>
          <w:ilvl w:val="0"/>
          <w:numId w:val="6"/>
        </w:numPr>
        <w:rPr>
          <w:b/>
          <w:bCs/>
        </w:rPr>
      </w:pPr>
      <w:r>
        <w:rPr>
          <w:b/>
          <w:bCs/>
        </w:rPr>
        <w:t>At all times and on all sites, until the Executive Order is repealed, all workers must have, at a minimum, cloth facial covering when onsite and working.</w:t>
      </w:r>
    </w:p>
    <w:p w14:paraId="5447EA63" w14:textId="77777777" w:rsidR="009F4CAA" w:rsidRDefault="009F4CAA" w:rsidP="009F4CAA">
      <w:pPr>
        <w:pStyle w:val="ListParagraph"/>
        <w:rPr>
          <w:b/>
          <w:bCs/>
        </w:rPr>
      </w:pPr>
    </w:p>
    <w:p w14:paraId="7CA7D025" w14:textId="26947563" w:rsidR="00FB418F" w:rsidRDefault="00084828" w:rsidP="005B5829">
      <w:pPr>
        <w:pStyle w:val="ListParagraph"/>
        <w:numPr>
          <w:ilvl w:val="0"/>
          <w:numId w:val="6"/>
        </w:numPr>
        <w:rPr>
          <w:b/>
          <w:bCs/>
        </w:rPr>
      </w:pPr>
      <w:r w:rsidRPr="005B5829">
        <w:rPr>
          <w:b/>
          <w:bCs/>
        </w:rPr>
        <w:t>Prior to recommencing work all contractors are required to develop and post at each job site a comprehensive COVID-19 exposure control, mitigation, and recovery plan</w:t>
      </w:r>
      <w:r w:rsidR="001B4157">
        <w:rPr>
          <w:b/>
          <w:bCs/>
        </w:rPr>
        <w:t xml:space="preserve"> (</w:t>
      </w:r>
      <w:r w:rsidR="00757107">
        <w:rPr>
          <w:b/>
          <w:bCs/>
        </w:rPr>
        <w:t xml:space="preserve">sample COVID-19 Plan in </w:t>
      </w:r>
      <w:r w:rsidR="001B4157">
        <w:rPr>
          <w:b/>
          <w:bCs/>
        </w:rPr>
        <w:t xml:space="preserve">Addendum </w:t>
      </w:r>
      <w:r w:rsidR="00757107">
        <w:rPr>
          <w:b/>
          <w:bCs/>
        </w:rPr>
        <w:t>A</w:t>
      </w:r>
      <w:r w:rsidR="001B4157">
        <w:rPr>
          <w:b/>
          <w:bCs/>
        </w:rPr>
        <w:t>)</w:t>
      </w:r>
      <w:r w:rsidRPr="005B5829">
        <w:rPr>
          <w:b/>
          <w:bCs/>
        </w:rPr>
        <w:t xml:space="preserve">. </w:t>
      </w:r>
    </w:p>
    <w:p w14:paraId="074081BD" w14:textId="77777777" w:rsidR="00DA34ED" w:rsidRPr="005B5829" w:rsidRDefault="00DA34ED" w:rsidP="00DA34ED">
      <w:pPr>
        <w:pStyle w:val="ListParagraph"/>
        <w:rPr>
          <w:b/>
          <w:bCs/>
        </w:rPr>
      </w:pPr>
    </w:p>
    <w:p w14:paraId="060DEDFD" w14:textId="229CEDC5" w:rsidR="00084828" w:rsidRDefault="00084828" w:rsidP="00DA34ED">
      <w:pPr>
        <w:pStyle w:val="ListParagraph"/>
      </w:pPr>
      <w:r>
        <w:t>The plan should include</w:t>
      </w:r>
      <w:r w:rsidR="00A71FFA">
        <w:t xml:space="preserve"> (</w:t>
      </w:r>
      <w:r w:rsidR="00757107">
        <w:t>sample</w:t>
      </w:r>
      <w:r w:rsidR="00A71FFA">
        <w:t xml:space="preserve"> explanations in </w:t>
      </w:r>
      <w:r w:rsidR="00757107">
        <w:t>A</w:t>
      </w:r>
      <w:r w:rsidR="00A71FFA">
        <w:t xml:space="preserve">ddendum </w:t>
      </w:r>
      <w:r w:rsidR="00757107">
        <w:t>B</w:t>
      </w:r>
      <w:r w:rsidR="00A71FFA">
        <w:t>)</w:t>
      </w:r>
      <w:r>
        <w:t xml:space="preserve">: </w:t>
      </w:r>
    </w:p>
    <w:p w14:paraId="1BCBB9E3" w14:textId="6646EFEE" w:rsidR="00084828" w:rsidRDefault="00084828" w:rsidP="00DA34ED">
      <w:pPr>
        <w:pStyle w:val="ListParagraph"/>
        <w:numPr>
          <w:ilvl w:val="1"/>
          <w:numId w:val="6"/>
        </w:numPr>
      </w:pPr>
      <w:r>
        <w:t>PPE utilization</w:t>
      </w:r>
      <w:r w:rsidRPr="00FB418F">
        <w:t xml:space="preserve"> </w:t>
      </w:r>
    </w:p>
    <w:p w14:paraId="3FFDDA8E" w14:textId="4A6F653C" w:rsidR="00FB418F" w:rsidRDefault="00FB418F" w:rsidP="00DA34ED">
      <w:pPr>
        <w:pStyle w:val="ListParagraph"/>
        <w:numPr>
          <w:ilvl w:val="1"/>
          <w:numId w:val="6"/>
        </w:numPr>
      </w:pPr>
      <w:r>
        <w:t>O</w:t>
      </w:r>
      <w:r w:rsidR="00084828">
        <w:t>n-site social distancing</w:t>
      </w:r>
    </w:p>
    <w:p w14:paraId="357D0DB3" w14:textId="63CB8D0B" w:rsidR="00084828" w:rsidRDefault="00FB418F" w:rsidP="00DA34ED">
      <w:pPr>
        <w:pStyle w:val="ListParagraph"/>
        <w:numPr>
          <w:ilvl w:val="1"/>
          <w:numId w:val="6"/>
        </w:numPr>
      </w:pPr>
      <w:r>
        <w:t>H</w:t>
      </w:r>
      <w:r w:rsidR="00084828">
        <w:t>ygiene</w:t>
      </w:r>
      <w:r>
        <w:t xml:space="preserve"> and </w:t>
      </w:r>
      <w:r w:rsidR="00084828">
        <w:t>sanitation</w:t>
      </w:r>
    </w:p>
    <w:p w14:paraId="6199FF4D" w14:textId="47DE6580" w:rsidR="00084828" w:rsidRDefault="00FB418F" w:rsidP="00DA34ED">
      <w:pPr>
        <w:pStyle w:val="ListParagraph"/>
        <w:numPr>
          <w:ilvl w:val="1"/>
          <w:numId w:val="6"/>
        </w:numPr>
      </w:pPr>
      <w:r>
        <w:t>S</w:t>
      </w:r>
      <w:r w:rsidR="00084828">
        <w:t>ymptom monitoring</w:t>
      </w:r>
    </w:p>
    <w:p w14:paraId="27C91582" w14:textId="326B35A3" w:rsidR="00084828" w:rsidRDefault="00FB418F" w:rsidP="00DA34ED">
      <w:pPr>
        <w:pStyle w:val="ListParagraph"/>
        <w:numPr>
          <w:ilvl w:val="1"/>
          <w:numId w:val="6"/>
        </w:numPr>
      </w:pPr>
      <w:r>
        <w:t>I</w:t>
      </w:r>
      <w:r w:rsidR="00084828">
        <w:t>ncident reporting</w:t>
      </w:r>
    </w:p>
    <w:p w14:paraId="1E7E3F79" w14:textId="46A25C12" w:rsidR="00084828" w:rsidRDefault="00FB418F" w:rsidP="00DA34ED">
      <w:pPr>
        <w:pStyle w:val="ListParagraph"/>
        <w:numPr>
          <w:ilvl w:val="1"/>
          <w:numId w:val="6"/>
        </w:numPr>
      </w:pPr>
      <w:r>
        <w:t>S</w:t>
      </w:r>
      <w:r w:rsidR="00084828">
        <w:t xml:space="preserve">ite decontamination procedures </w:t>
      </w:r>
    </w:p>
    <w:p w14:paraId="22FBBEAD" w14:textId="6C5660B3" w:rsidR="00084828" w:rsidRDefault="00FB418F" w:rsidP="00DA34ED">
      <w:pPr>
        <w:pStyle w:val="ListParagraph"/>
        <w:numPr>
          <w:ilvl w:val="1"/>
          <w:numId w:val="6"/>
        </w:numPr>
      </w:pPr>
      <w:r>
        <w:t>E</w:t>
      </w:r>
      <w:r w:rsidR="00084828">
        <w:t>xposure response procedures</w:t>
      </w:r>
    </w:p>
    <w:p w14:paraId="1D9AE596" w14:textId="54A8062A" w:rsidR="00084828" w:rsidRDefault="00FB418F" w:rsidP="00DA34ED">
      <w:pPr>
        <w:pStyle w:val="ListParagraph"/>
        <w:numPr>
          <w:ilvl w:val="1"/>
          <w:numId w:val="6"/>
        </w:numPr>
      </w:pPr>
      <w:r>
        <w:t>P</w:t>
      </w:r>
      <w:r w:rsidR="00084828">
        <w:t>ost-exposure incident project wide recovery plan</w:t>
      </w:r>
    </w:p>
    <w:p w14:paraId="2AD91E38" w14:textId="23D12424" w:rsidR="00084828" w:rsidRDefault="00084828" w:rsidP="00DA34ED">
      <w:pPr>
        <w:ind w:left="720"/>
      </w:pPr>
      <w:r>
        <w:t xml:space="preserve">A copy of the plan must be available on each job site during any construction activities and available for inspection by state and local authorities. </w:t>
      </w:r>
    </w:p>
    <w:p w14:paraId="6669254E" w14:textId="4FA37E46" w:rsidR="00084828" w:rsidRPr="00FB418F" w:rsidRDefault="00084828" w:rsidP="005B5829">
      <w:pPr>
        <w:pStyle w:val="Default"/>
        <w:numPr>
          <w:ilvl w:val="0"/>
          <w:numId w:val="6"/>
        </w:numPr>
        <w:rPr>
          <w:b/>
          <w:bCs/>
          <w:sz w:val="22"/>
          <w:szCs w:val="22"/>
        </w:rPr>
      </w:pPr>
      <w:r w:rsidRPr="00FB418F">
        <w:rPr>
          <w:b/>
          <w:bCs/>
          <w:sz w:val="22"/>
          <w:szCs w:val="22"/>
        </w:rPr>
        <w:t>Safety/toolbox talks</w:t>
      </w:r>
      <w:r w:rsidR="008260C0">
        <w:rPr>
          <w:b/>
          <w:bCs/>
          <w:sz w:val="22"/>
          <w:szCs w:val="22"/>
        </w:rPr>
        <w:t>/orientation</w:t>
      </w:r>
      <w:r w:rsidRPr="00FB418F">
        <w:rPr>
          <w:b/>
          <w:bCs/>
          <w:sz w:val="22"/>
          <w:szCs w:val="22"/>
        </w:rPr>
        <w:t xml:space="preserve"> must be conducted on all job sites on the first day of returning to work, and weekly thereafter, to explain the protective measures in place for all workers. Social distancing must be maintained at all gatherings. </w:t>
      </w:r>
    </w:p>
    <w:p w14:paraId="29409F6B" w14:textId="77777777" w:rsidR="00084828" w:rsidRDefault="00084828" w:rsidP="00084828">
      <w:pPr>
        <w:pStyle w:val="Default"/>
      </w:pPr>
    </w:p>
    <w:p w14:paraId="79F7C4F9" w14:textId="0794C3B4" w:rsidR="00F354B2" w:rsidRDefault="00084828" w:rsidP="009F4CAA">
      <w:pPr>
        <w:pStyle w:val="Default"/>
        <w:numPr>
          <w:ilvl w:val="0"/>
          <w:numId w:val="6"/>
        </w:numPr>
        <w:rPr>
          <w:b/>
          <w:bCs/>
          <w:sz w:val="22"/>
          <w:szCs w:val="22"/>
        </w:rPr>
      </w:pPr>
      <w:r w:rsidRPr="00084828">
        <w:rPr>
          <w:b/>
          <w:bCs/>
          <w:sz w:val="22"/>
          <w:szCs w:val="22"/>
        </w:rPr>
        <w:t>A</w:t>
      </w:r>
      <w:r w:rsidR="00757107">
        <w:rPr>
          <w:b/>
          <w:bCs/>
          <w:sz w:val="22"/>
          <w:szCs w:val="22"/>
        </w:rPr>
        <w:t xml:space="preserve">n employer </w:t>
      </w:r>
      <w:r w:rsidRPr="00084828">
        <w:rPr>
          <w:b/>
          <w:bCs/>
          <w:sz w:val="22"/>
          <w:szCs w:val="22"/>
        </w:rPr>
        <w:t xml:space="preserve">site-specific COVID-19 </w:t>
      </w:r>
      <w:r w:rsidR="00757107">
        <w:rPr>
          <w:b/>
          <w:bCs/>
          <w:sz w:val="22"/>
          <w:szCs w:val="22"/>
        </w:rPr>
        <w:t>Leader</w:t>
      </w:r>
      <w:r w:rsidRPr="00084828">
        <w:rPr>
          <w:b/>
          <w:bCs/>
          <w:sz w:val="22"/>
          <w:szCs w:val="22"/>
        </w:rPr>
        <w:t xml:space="preserve"> shall be designated at every job site to monitor the health of </w:t>
      </w:r>
      <w:r w:rsidR="00757107">
        <w:rPr>
          <w:b/>
          <w:bCs/>
          <w:sz w:val="22"/>
          <w:szCs w:val="22"/>
        </w:rPr>
        <w:t xml:space="preserve">the contractor </w:t>
      </w:r>
      <w:r w:rsidRPr="00084828">
        <w:rPr>
          <w:b/>
          <w:bCs/>
          <w:sz w:val="22"/>
          <w:szCs w:val="22"/>
        </w:rPr>
        <w:t xml:space="preserve">employees and enforce the COVID-19 job site safety plan. A designated COVID-19 </w:t>
      </w:r>
      <w:r w:rsidR="00757107">
        <w:rPr>
          <w:b/>
          <w:bCs/>
          <w:sz w:val="22"/>
          <w:szCs w:val="22"/>
        </w:rPr>
        <w:t>Leader</w:t>
      </w:r>
      <w:r w:rsidRPr="00084828">
        <w:rPr>
          <w:b/>
          <w:bCs/>
          <w:sz w:val="22"/>
          <w:szCs w:val="22"/>
        </w:rPr>
        <w:t xml:space="preserve"> must be present at all times during construction activities</w:t>
      </w:r>
      <w:r>
        <w:rPr>
          <w:b/>
          <w:bCs/>
          <w:sz w:val="22"/>
          <w:szCs w:val="22"/>
        </w:rPr>
        <w:t>.</w:t>
      </w:r>
    </w:p>
    <w:p w14:paraId="7124782D" w14:textId="77777777" w:rsidR="009F4CAA" w:rsidRPr="009F4CAA" w:rsidRDefault="009F4CAA" w:rsidP="009F4CAA">
      <w:pPr>
        <w:pStyle w:val="Default"/>
        <w:rPr>
          <w:b/>
          <w:bCs/>
          <w:sz w:val="22"/>
          <w:szCs w:val="22"/>
        </w:rPr>
      </w:pPr>
    </w:p>
    <w:p w14:paraId="5E507BB7" w14:textId="77777777" w:rsidR="00757107" w:rsidRDefault="00F6634A" w:rsidP="00757107">
      <w:pPr>
        <w:pStyle w:val="Default"/>
        <w:numPr>
          <w:ilvl w:val="0"/>
          <w:numId w:val="6"/>
        </w:numPr>
        <w:rPr>
          <w:b/>
          <w:bCs/>
          <w:sz w:val="22"/>
          <w:szCs w:val="22"/>
        </w:rPr>
      </w:pPr>
      <w:r>
        <w:rPr>
          <w:b/>
          <w:bCs/>
          <w:sz w:val="22"/>
          <w:szCs w:val="22"/>
        </w:rPr>
        <w:t>Adopt and post any new requirements (that are practical and due not create an undue hardship) created by the Center for Disease Control (CDC) and/or the New York State Department of Health (DOH) related to COVID-19 best practices and/or plans to mitigate potential recurrence or spread of the virus</w:t>
      </w:r>
      <w:bookmarkStart w:id="0" w:name="_Hlk38441944"/>
    </w:p>
    <w:p w14:paraId="50A706C7" w14:textId="77777777" w:rsidR="00757107" w:rsidRDefault="00757107" w:rsidP="00757107">
      <w:pPr>
        <w:pStyle w:val="ListParagraph"/>
        <w:rPr>
          <w:b/>
          <w:bCs/>
          <w:sz w:val="28"/>
          <w:szCs w:val="28"/>
        </w:rPr>
      </w:pPr>
    </w:p>
    <w:p w14:paraId="08B703DD" w14:textId="65F1A09D" w:rsidR="00757107" w:rsidRPr="009374E9" w:rsidRDefault="00757107" w:rsidP="009374E9">
      <w:pPr>
        <w:pStyle w:val="Default"/>
        <w:rPr>
          <w:b/>
          <w:bCs/>
          <w:sz w:val="22"/>
          <w:szCs w:val="22"/>
        </w:rPr>
      </w:pPr>
      <w:r>
        <w:rPr>
          <w:b/>
          <w:bCs/>
          <w:sz w:val="28"/>
          <w:szCs w:val="28"/>
        </w:rPr>
        <w:t xml:space="preserve">STEP TWO: </w:t>
      </w:r>
      <w:r w:rsidRPr="00757107">
        <w:rPr>
          <w:b/>
          <w:bCs/>
          <w:sz w:val="28"/>
          <w:szCs w:val="28"/>
        </w:rPr>
        <w:t>Recommendations to Manage Project Density and a Full return to Project Capacity</w:t>
      </w:r>
    </w:p>
    <w:p w14:paraId="701BFD70" w14:textId="15ED6B9A" w:rsidR="00757107" w:rsidRDefault="00757107" w:rsidP="00757107">
      <w:pPr>
        <w:spacing w:after="0"/>
      </w:pPr>
      <w:r w:rsidRPr="00F3604E">
        <w:t xml:space="preserve">In order to have a smooth transition back to full capacity job sites, </w:t>
      </w:r>
      <w:r>
        <w:t>we recommend that New York State adopt the following scaled density to restart projects that have been shut down due to being deemed non-essential:</w:t>
      </w:r>
    </w:p>
    <w:p w14:paraId="7CD6AED0" w14:textId="77777777" w:rsidR="00757107" w:rsidRDefault="00757107" w:rsidP="00757107">
      <w:pPr>
        <w:spacing w:after="0"/>
      </w:pPr>
    </w:p>
    <w:p w14:paraId="52FD6EF4" w14:textId="15EEA9C5" w:rsidR="00757107" w:rsidRDefault="00285D99" w:rsidP="00757107">
      <w:pPr>
        <w:pStyle w:val="ListParagraph"/>
        <w:numPr>
          <w:ilvl w:val="0"/>
          <w:numId w:val="9"/>
        </w:numPr>
        <w:spacing w:after="0" w:line="240" w:lineRule="auto"/>
        <w:jc w:val="both"/>
        <w:rPr>
          <w:rFonts w:cs="Times New Roman"/>
        </w:rPr>
      </w:pPr>
      <w:r>
        <w:rPr>
          <w:rFonts w:cs="Times New Roman"/>
        </w:rPr>
        <w:t>O</w:t>
      </w:r>
      <w:r w:rsidR="00757107" w:rsidRPr="00F3604E">
        <w:rPr>
          <w:rFonts w:cs="Times New Roman"/>
        </w:rPr>
        <w:t>utdoor operations</w:t>
      </w:r>
      <w:r w:rsidR="00757107">
        <w:rPr>
          <w:rFonts w:cs="Times New Roman"/>
        </w:rPr>
        <w:t xml:space="preserve"> whic</w:t>
      </w:r>
      <w:r w:rsidR="00757107" w:rsidRPr="00F3604E">
        <w:rPr>
          <w:rFonts w:cs="Times New Roman"/>
        </w:rPr>
        <w:t xml:space="preserve">h presumably </w:t>
      </w:r>
      <w:r w:rsidR="00757107">
        <w:rPr>
          <w:rFonts w:cs="Times New Roman"/>
        </w:rPr>
        <w:t xml:space="preserve">have </w:t>
      </w:r>
      <w:r w:rsidR="00757107" w:rsidRPr="00F3604E">
        <w:rPr>
          <w:rFonts w:cs="Times New Roman"/>
        </w:rPr>
        <w:t>less risk of spread of COVID-19</w:t>
      </w:r>
      <w:r w:rsidR="00757107">
        <w:rPr>
          <w:rFonts w:cs="Times New Roman"/>
        </w:rPr>
        <w:t xml:space="preserve"> will not be subject to density requirements </w:t>
      </w:r>
      <w:r w:rsidRPr="00285D99">
        <w:rPr>
          <w:rFonts w:cs="Times New Roman"/>
        </w:rPr>
        <w:t xml:space="preserve">but will be </w:t>
      </w:r>
      <w:r>
        <w:rPr>
          <w:rFonts w:cs="Times New Roman"/>
        </w:rPr>
        <w:t>obligat</w:t>
      </w:r>
      <w:r w:rsidRPr="00285D99">
        <w:rPr>
          <w:rFonts w:cs="Times New Roman"/>
        </w:rPr>
        <w:t>ed to follow</w:t>
      </w:r>
      <w:r w:rsidR="00757107">
        <w:rPr>
          <w:rFonts w:cs="Times New Roman"/>
        </w:rPr>
        <w:t xml:space="preserve"> the current recommendation of 6 ft</w:t>
      </w:r>
      <w:r w:rsidR="00757107" w:rsidRPr="00F3604E">
        <w:rPr>
          <w:rFonts w:cs="Times New Roman"/>
        </w:rPr>
        <w:t>.</w:t>
      </w:r>
      <w:r>
        <w:rPr>
          <w:rFonts w:cs="Times New Roman"/>
        </w:rPr>
        <w:t xml:space="preserve"> separation.</w:t>
      </w:r>
      <w:r w:rsidR="00757107" w:rsidRPr="00F3604E">
        <w:rPr>
          <w:rFonts w:cs="Times New Roman"/>
        </w:rPr>
        <w:t xml:space="preserve"> These operations are usually controlled by one</w:t>
      </w:r>
      <w:r w:rsidR="00757107">
        <w:rPr>
          <w:rFonts w:cs="Times New Roman"/>
        </w:rPr>
        <w:t xml:space="preserve"> or two</w:t>
      </w:r>
      <w:r w:rsidR="00757107" w:rsidRPr="00F3604E">
        <w:rPr>
          <w:rFonts w:cs="Times New Roman"/>
        </w:rPr>
        <w:t xml:space="preserve"> sub-contractor</w:t>
      </w:r>
      <w:r w:rsidR="00757107">
        <w:rPr>
          <w:rFonts w:cs="Times New Roman"/>
        </w:rPr>
        <w:t>s</w:t>
      </w:r>
      <w:r w:rsidR="00757107" w:rsidRPr="00F3604E">
        <w:rPr>
          <w:rFonts w:cs="Times New Roman"/>
        </w:rPr>
        <w:t xml:space="preserve"> with a limited number of workers</w:t>
      </w:r>
      <w:r w:rsidR="00757107">
        <w:rPr>
          <w:rFonts w:cs="Times New Roman"/>
        </w:rPr>
        <w:t xml:space="preserve"> where appropriate social distancing can be more readily maintained.  </w:t>
      </w:r>
    </w:p>
    <w:p w14:paraId="5F965730" w14:textId="77777777" w:rsidR="00757107" w:rsidRDefault="00757107" w:rsidP="00757107">
      <w:pPr>
        <w:spacing w:after="0" w:line="240" w:lineRule="auto"/>
        <w:ind w:left="360"/>
        <w:jc w:val="both"/>
        <w:rPr>
          <w:rFonts w:cs="Times New Roman"/>
        </w:rPr>
      </w:pPr>
    </w:p>
    <w:p w14:paraId="259BB065" w14:textId="3C8C119A" w:rsidR="00757107" w:rsidRPr="00F9650D" w:rsidRDefault="00757107" w:rsidP="00757107">
      <w:pPr>
        <w:spacing w:after="0" w:line="240" w:lineRule="auto"/>
        <w:ind w:left="720"/>
        <w:jc w:val="both"/>
        <w:rPr>
          <w:rFonts w:cs="Times New Roman"/>
        </w:rPr>
      </w:pPr>
      <w:r w:rsidRPr="00F9650D">
        <w:rPr>
          <w:rFonts w:cs="Times New Roman"/>
        </w:rPr>
        <w:t>In instances where</w:t>
      </w:r>
      <w:r>
        <w:rPr>
          <w:rFonts w:cs="Times New Roman"/>
        </w:rPr>
        <w:t xml:space="preserve"> work cannot be performed safely by adhering to the 6 ft. recommendation, all workers will be required to have cloth facial covering</w:t>
      </w:r>
      <w:r w:rsidR="00285D99">
        <w:rPr>
          <w:rFonts w:cs="Times New Roman"/>
        </w:rPr>
        <w:t>,</w:t>
      </w:r>
      <w:r>
        <w:rPr>
          <w:rFonts w:cs="Times New Roman"/>
        </w:rPr>
        <w:t xml:space="preserve"> mask, gloves and</w:t>
      </w:r>
      <w:r w:rsidR="00285D99">
        <w:rPr>
          <w:rFonts w:cs="Times New Roman"/>
        </w:rPr>
        <w:t>/or</w:t>
      </w:r>
      <w:r>
        <w:rPr>
          <w:rFonts w:cs="Times New Roman"/>
        </w:rPr>
        <w:t xml:space="preserve"> safe</w:t>
      </w:r>
      <w:r w:rsidR="00F91D43">
        <w:rPr>
          <w:rFonts w:cs="Times New Roman"/>
        </w:rPr>
        <w:t>t</w:t>
      </w:r>
      <w:r>
        <w:rPr>
          <w:rFonts w:cs="Times New Roman"/>
        </w:rPr>
        <w:t xml:space="preserve">y glasses/shields </w:t>
      </w:r>
      <w:r w:rsidR="00285D99">
        <w:rPr>
          <w:rFonts w:cs="Times New Roman"/>
        </w:rPr>
        <w:t xml:space="preserve">as required for their task </w:t>
      </w:r>
      <w:r>
        <w:rPr>
          <w:rFonts w:cs="Times New Roman"/>
        </w:rPr>
        <w:t>until they can return to being more than 6 ft. apart.</w:t>
      </w:r>
    </w:p>
    <w:p w14:paraId="60CAD201" w14:textId="77777777" w:rsidR="00757107" w:rsidRDefault="00757107" w:rsidP="00757107">
      <w:pPr>
        <w:spacing w:after="0" w:line="240" w:lineRule="auto"/>
        <w:jc w:val="both"/>
        <w:rPr>
          <w:rFonts w:cs="Times New Roman"/>
        </w:rPr>
      </w:pPr>
    </w:p>
    <w:p w14:paraId="5FE75CDC" w14:textId="0A4F4584" w:rsidR="00757107" w:rsidRDefault="00757107" w:rsidP="00757107">
      <w:pPr>
        <w:spacing w:after="0" w:line="240" w:lineRule="auto"/>
        <w:ind w:left="720"/>
        <w:jc w:val="both"/>
        <w:rPr>
          <w:rFonts w:cs="Times New Roman"/>
        </w:rPr>
      </w:pPr>
      <w:r>
        <w:rPr>
          <w:rFonts w:cs="Times New Roman"/>
        </w:rPr>
        <w:t>Examples</w:t>
      </w:r>
      <w:r w:rsidR="00285D99">
        <w:rPr>
          <w:rFonts w:cs="Times New Roman"/>
        </w:rPr>
        <w:t xml:space="preserve"> of exterior work </w:t>
      </w:r>
      <w:r>
        <w:rPr>
          <w:rFonts w:cs="Times New Roman"/>
        </w:rPr>
        <w:t>include, but are not limited to, the following areas and other work required to meet the task:</w:t>
      </w:r>
    </w:p>
    <w:p w14:paraId="49E23E5C" w14:textId="77777777" w:rsidR="00757107" w:rsidRDefault="00757107" w:rsidP="00757107">
      <w:pPr>
        <w:numPr>
          <w:ilvl w:val="0"/>
          <w:numId w:val="8"/>
        </w:numPr>
        <w:tabs>
          <w:tab w:val="left" w:pos="1146"/>
        </w:tabs>
        <w:spacing w:after="0" w:line="240" w:lineRule="auto"/>
        <w:contextualSpacing/>
        <w:jc w:val="both"/>
        <w:rPr>
          <w:rFonts w:cs="Times New Roman"/>
        </w:rPr>
      </w:pPr>
      <w:r>
        <w:rPr>
          <w:rFonts w:cs="Times New Roman"/>
        </w:rPr>
        <w:t>Concrete forming and concrete placement</w:t>
      </w:r>
    </w:p>
    <w:p w14:paraId="077F327B" w14:textId="77777777" w:rsidR="00757107" w:rsidRDefault="00757107" w:rsidP="00757107">
      <w:pPr>
        <w:numPr>
          <w:ilvl w:val="0"/>
          <w:numId w:val="8"/>
        </w:numPr>
        <w:tabs>
          <w:tab w:val="left" w:pos="1146"/>
        </w:tabs>
        <w:spacing w:after="0" w:line="240" w:lineRule="auto"/>
        <w:contextualSpacing/>
        <w:jc w:val="both"/>
        <w:rPr>
          <w:rFonts w:cs="Times New Roman"/>
        </w:rPr>
      </w:pPr>
      <w:r>
        <w:rPr>
          <w:rFonts w:cs="Times New Roman"/>
        </w:rPr>
        <w:t>Steel erection</w:t>
      </w:r>
    </w:p>
    <w:p w14:paraId="35C0511B" w14:textId="77777777" w:rsidR="00757107" w:rsidRDefault="00757107" w:rsidP="00757107">
      <w:pPr>
        <w:numPr>
          <w:ilvl w:val="0"/>
          <w:numId w:val="8"/>
        </w:numPr>
        <w:tabs>
          <w:tab w:val="left" w:pos="1146"/>
        </w:tabs>
        <w:spacing w:after="0" w:line="240" w:lineRule="auto"/>
        <w:contextualSpacing/>
        <w:jc w:val="both"/>
        <w:rPr>
          <w:rFonts w:cs="Times New Roman"/>
        </w:rPr>
      </w:pPr>
      <w:r>
        <w:rPr>
          <w:rFonts w:cs="Times New Roman"/>
        </w:rPr>
        <w:t>Exterior framing</w:t>
      </w:r>
    </w:p>
    <w:p w14:paraId="2DF44A08" w14:textId="77777777" w:rsidR="00757107" w:rsidRDefault="00757107" w:rsidP="00757107">
      <w:pPr>
        <w:numPr>
          <w:ilvl w:val="0"/>
          <w:numId w:val="8"/>
        </w:numPr>
        <w:tabs>
          <w:tab w:val="left" w:pos="1146"/>
        </w:tabs>
        <w:spacing w:after="0" w:line="240" w:lineRule="auto"/>
        <w:contextualSpacing/>
        <w:jc w:val="both"/>
        <w:rPr>
          <w:rFonts w:cs="Times New Roman"/>
        </w:rPr>
      </w:pPr>
      <w:r>
        <w:rPr>
          <w:rFonts w:cs="Times New Roman"/>
        </w:rPr>
        <w:t>Open excavation</w:t>
      </w:r>
    </w:p>
    <w:p w14:paraId="0FC8EADA" w14:textId="77777777" w:rsidR="00757107" w:rsidRDefault="00757107" w:rsidP="00757107">
      <w:pPr>
        <w:numPr>
          <w:ilvl w:val="0"/>
          <w:numId w:val="8"/>
        </w:numPr>
        <w:tabs>
          <w:tab w:val="left" w:pos="1146"/>
        </w:tabs>
        <w:spacing w:after="0" w:line="240" w:lineRule="auto"/>
        <w:contextualSpacing/>
        <w:jc w:val="both"/>
        <w:rPr>
          <w:rFonts w:cs="Times New Roman"/>
        </w:rPr>
      </w:pPr>
      <w:r>
        <w:rPr>
          <w:rFonts w:cs="Times New Roman"/>
        </w:rPr>
        <w:t>Support of excavation</w:t>
      </w:r>
    </w:p>
    <w:p w14:paraId="29E66DC9" w14:textId="77777777" w:rsidR="00757107" w:rsidRDefault="00757107" w:rsidP="00757107">
      <w:pPr>
        <w:numPr>
          <w:ilvl w:val="0"/>
          <w:numId w:val="8"/>
        </w:numPr>
        <w:tabs>
          <w:tab w:val="left" w:pos="1146"/>
        </w:tabs>
        <w:spacing w:after="0" w:line="240" w:lineRule="auto"/>
        <w:contextualSpacing/>
        <w:jc w:val="both"/>
        <w:rPr>
          <w:rFonts w:cs="Times New Roman"/>
        </w:rPr>
      </w:pPr>
      <w:r>
        <w:rPr>
          <w:rFonts w:cs="Times New Roman"/>
        </w:rPr>
        <w:t>Foundation</w:t>
      </w:r>
    </w:p>
    <w:p w14:paraId="080E8187" w14:textId="77777777" w:rsidR="00757107" w:rsidRDefault="00757107" w:rsidP="00757107">
      <w:pPr>
        <w:numPr>
          <w:ilvl w:val="0"/>
          <w:numId w:val="8"/>
        </w:numPr>
        <w:tabs>
          <w:tab w:val="left" w:pos="1146"/>
        </w:tabs>
        <w:spacing w:after="0" w:line="240" w:lineRule="auto"/>
        <w:contextualSpacing/>
        <w:jc w:val="both"/>
        <w:rPr>
          <w:rFonts w:cs="Times New Roman"/>
        </w:rPr>
      </w:pPr>
      <w:r>
        <w:rPr>
          <w:rFonts w:cs="Times New Roman"/>
        </w:rPr>
        <w:t>Roofing</w:t>
      </w:r>
    </w:p>
    <w:p w14:paraId="2F8BD2CA" w14:textId="2F61E9B3" w:rsidR="00757107" w:rsidRDefault="00757107" w:rsidP="00757107">
      <w:pPr>
        <w:numPr>
          <w:ilvl w:val="0"/>
          <w:numId w:val="8"/>
        </w:numPr>
        <w:tabs>
          <w:tab w:val="left" w:pos="1146"/>
        </w:tabs>
        <w:spacing w:after="0" w:line="240" w:lineRule="auto"/>
        <w:contextualSpacing/>
        <w:jc w:val="both"/>
        <w:rPr>
          <w:rFonts w:cs="Times New Roman"/>
        </w:rPr>
      </w:pPr>
      <w:r>
        <w:rPr>
          <w:rFonts w:cs="Times New Roman"/>
        </w:rPr>
        <w:t>Façade erection/glazing/rehabilitation</w:t>
      </w:r>
      <w:r w:rsidR="00285D99">
        <w:rPr>
          <w:rFonts w:cs="Times New Roman"/>
        </w:rPr>
        <w:t>/installation</w:t>
      </w:r>
    </w:p>
    <w:p w14:paraId="22225272" w14:textId="77777777" w:rsidR="00757107" w:rsidRDefault="00757107" w:rsidP="00757107">
      <w:pPr>
        <w:numPr>
          <w:ilvl w:val="0"/>
          <w:numId w:val="8"/>
        </w:numPr>
        <w:tabs>
          <w:tab w:val="left" w:pos="1146"/>
        </w:tabs>
        <w:spacing w:after="0" w:line="240" w:lineRule="auto"/>
        <w:contextualSpacing/>
        <w:jc w:val="both"/>
        <w:rPr>
          <w:rFonts w:cs="Times New Roman"/>
        </w:rPr>
      </w:pPr>
      <w:r>
        <w:rPr>
          <w:rFonts w:cs="Times New Roman"/>
        </w:rPr>
        <w:t>Site work/utilities</w:t>
      </w:r>
    </w:p>
    <w:p w14:paraId="19C1A8B2" w14:textId="77777777" w:rsidR="00757107" w:rsidRDefault="00757107" w:rsidP="00757107">
      <w:pPr>
        <w:numPr>
          <w:ilvl w:val="0"/>
          <w:numId w:val="8"/>
        </w:numPr>
        <w:tabs>
          <w:tab w:val="left" w:pos="1146"/>
        </w:tabs>
        <w:spacing w:after="0" w:line="240" w:lineRule="auto"/>
        <w:contextualSpacing/>
        <w:jc w:val="both"/>
        <w:rPr>
          <w:rFonts w:cs="Times New Roman"/>
        </w:rPr>
      </w:pPr>
      <w:r>
        <w:rPr>
          <w:rFonts w:cs="Times New Roman"/>
        </w:rPr>
        <w:t>Paving/driveways/seal coating/landscaping</w:t>
      </w:r>
    </w:p>
    <w:p w14:paraId="357180DE" w14:textId="795E0545" w:rsidR="00757107" w:rsidRDefault="00757107" w:rsidP="00757107">
      <w:pPr>
        <w:numPr>
          <w:ilvl w:val="0"/>
          <w:numId w:val="8"/>
        </w:numPr>
        <w:tabs>
          <w:tab w:val="left" w:pos="1146"/>
        </w:tabs>
        <w:spacing w:after="0" w:line="240" w:lineRule="auto"/>
        <w:contextualSpacing/>
        <w:jc w:val="both"/>
        <w:rPr>
          <w:rFonts w:cs="Times New Roman"/>
        </w:rPr>
      </w:pPr>
      <w:r>
        <w:rPr>
          <w:rFonts w:cs="Times New Roman"/>
        </w:rPr>
        <w:t>Exterior</w:t>
      </w:r>
      <w:r w:rsidRPr="00285D99">
        <w:rPr>
          <w:rFonts w:cs="Times New Roman"/>
        </w:rPr>
        <w:t xml:space="preserve"> </w:t>
      </w:r>
      <w:r w:rsidR="00285D99" w:rsidRPr="00285D99">
        <w:rPr>
          <w:rFonts w:cs="Times New Roman"/>
        </w:rPr>
        <w:t>supported or suspended scaffold installation, use or dismantling</w:t>
      </w:r>
    </w:p>
    <w:p w14:paraId="05E4872A" w14:textId="77777777" w:rsidR="00285D99" w:rsidRPr="00285D99" w:rsidRDefault="00285D99" w:rsidP="00285D99">
      <w:pPr>
        <w:numPr>
          <w:ilvl w:val="0"/>
          <w:numId w:val="8"/>
        </w:numPr>
        <w:tabs>
          <w:tab w:val="left" w:pos="1146"/>
        </w:tabs>
        <w:spacing w:after="0" w:line="240" w:lineRule="auto"/>
        <w:contextualSpacing/>
        <w:jc w:val="both"/>
        <w:rPr>
          <w:rFonts w:cs="Times New Roman"/>
        </w:rPr>
      </w:pPr>
      <w:r>
        <w:rPr>
          <w:rFonts w:cs="Times New Roman"/>
        </w:rPr>
        <w:t>E</w:t>
      </w:r>
      <w:r w:rsidRPr="00285D99">
        <w:rPr>
          <w:rFonts w:cs="Times New Roman"/>
        </w:rPr>
        <w:t>xterior hoist erection, use or dismantling</w:t>
      </w:r>
    </w:p>
    <w:p w14:paraId="2B221BDE" w14:textId="77777777" w:rsidR="00285D99" w:rsidRPr="00285D99" w:rsidRDefault="00285D99" w:rsidP="00285D99">
      <w:pPr>
        <w:numPr>
          <w:ilvl w:val="0"/>
          <w:numId w:val="8"/>
        </w:numPr>
        <w:tabs>
          <w:tab w:val="left" w:pos="1146"/>
        </w:tabs>
        <w:spacing w:after="0" w:line="240" w:lineRule="auto"/>
        <w:contextualSpacing/>
        <w:jc w:val="both"/>
        <w:rPr>
          <w:rFonts w:cs="Times New Roman"/>
        </w:rPr>
      </w:pPr>
      <w:r w:rsidRPr="00285D99">
        <w:rPr>
          <w:rFonts w:cs="Times New Roman"/>
        </w:rPr>
        <w:t>Crane erection, use or dismantling</w:t>
      </w:r>
    </w:p>
    <w:p w14:paraId="203B5750" w14:textId="77777777" w:rsidR="00F354B2" w:rsidRPr="00F3604E" w:rsidRDefault="00F354B2" w:rsidP="00757107">
      <w:pPr>
        <w:spacing w:after="0"/>
      </w:pPr>
    </w:p>
    <w:p w14:paraId="64A66FDB" w14:textId="341BBE79" w:rsidR="00757107" w:rsidRDefault="00757107" w:rsidP="00F354B2">
      <w:pPr>
        <w:pStyle w:val="ListParagraph"/>
        <w:numPr>
          <w:ilvl w:val="0"/>
          <w:numId w:val="9"/>
        </w:numPr>
      </w:pPr>
      <w:r>
        <w:t>Interior operations, which tend to have a greater density of workers, will require a phased-in approach to ensure the greatest opportunity to reduce the risk of exposure:</w:t>
      </w:r>
    </w:p>
    <w:p w14:paraId="601E0D75" w14:textId="77777777" w:rsidR="00757107" w:rsidRDefault="00757107" w:rsidP="00757107">
      <w:pPr>
        <w:pStyle w:val="ListParagraph"/>
        <w:numPr>
          <w:ilvl w:val="1"/>
          <w:numId w:val="9"/>
        </w:numPr>
      </w:pPr>
      <w:r>
        <w:t>For locations outside the Metropolitan Transportation Authority (MTA) and Metro North service area:</w:t>
      </w:r>
    </w:p>
    <w:p w14:paraId="7BF726BB" w14:textId="77777777" w:rsidR="00757107" w:rsidRDefault="00757107" w:rsidP="00757107">
      <w:pPr>
        <w:pStyle w:val="ListParagraph"/>
        <w:numPr>
          <w:ilvl w:val="2"/>
          <w:numId w:val="9"/>
        </w:numPr>
      </w:pPr>
      <w:r>
        <w:t>Weeks 1-2:  There will not be more than one person for every 200 sq. feet of total project square footage based on work in place</w:t>
      </w:r>
    </w:p>
    <w:p w14:paraId="5395BCFB" w14:textId="5897FAF2" w:rsidR="00757107" w:rsidRDefault="00757107" w:rsidP="00757107">
      <w:pPr>
        <w:pStyle w:val="ListParagraph"/>
        <w:numPr>
          <w:ilvl w:val="3"/>
          <w:numId w:val="9"/>
        </w:numPr>
      </w:pPr>
      <w:r w:rsidRPr="00F9650D">
        <w:rPr>
          <w:rFonts w:cs="Times New Roman"/>
        </w:rPr>
        <w:t>In instances where</w:t>
      </w:r>
      <w:r>
        <w:rPr>
          <w:rFonts w:cs="Times New Roman"/>
        </w:rPr>
        <w:t xml:space="preserve"> work cannot be performed safe</w:t>
      </w:r>
      <w:r w:rsidR="00F91D43">
        <w:rPr>
          <w:rFonts w:cs="Times New Roman"/>
        </w:rPr>
        <w:t>t</w:t>
      </w:r>
      <w:r>
        <w:rPr>
          <w:rFonts w:cs="Times New Roman"/>
        </w:rPr>
        <w:t xml:space="preserve">y by adhering to the 6 ft. recommendation, all workers will be required to have cloth facial covering and/or </w:t>
      </w:r>
      <w:r w:rsidR="006230C2" w:rsidRPr="006230C2">
        <w:rPr>
          <w:rFonts w:eastAsia="Times New Roman"/>
        </w:rPr>
        <w:t>approved PPE</w:t>
      </w:r>
      <w:r w:rsidR="006230C2">
        <w:rPr>
          <w:rFonts w:eastAsia="Times New Roman"/>
        </w:rPr>
        <w:t xml:space="preserve"> </w:t>
      </w:r>
      <w:r>
        <w:rPr>
          <w:rFonts w:cs="Times New Roman"/>
        </w:rPr>
        <w:t>mask, gloves and safe</w:t>
      </w:r>
      <w:r w:rsidR="00F91D43">
        <w:rPr>
          <w:rFonts w:cs="Times New Roman"/>
        </w:rPr>
        <w:t>t</w:t>
      </w:r>
      <w:r>
        <w:rPr>
          <w:rFonts w:cs="Times New Roman"/>
        </w:rPr>
        <w:t>y glasses/shields until they can return to being more than 6 ft. apart</w:t>
      </w:r>
    </w:p>
    <w:p w14:paraId="327FDC80" w14:textId="77777777" w:rsidR="00757107" w:rsidRDefault="00757107" w:rsidP="00757107">
      <w:pPr>
        <w:pStyle w:val="ListParagraph"/>
        <w:numPr>
          <w:ilvl w:val="2"/>
          <w:numId w:val="9"/>
        </w:numPr>
      </w:pPr>
      <w:r>
        <w:t>Week 3: There will not be more than one person for every 100 sq. feet of total project square footage based on work in place</w:t>
      </w:r>
    </w:p>
    <w:p w14:paraId="6E3AE2E1" w14:textId="322C7D6C" w:rsidR="00757107" w:rsidRPr="00757107" w:rsidRDefault="00757107" w:rsidP="00757107">
      <w:pPr>
        <w:pStyle w:val="ListParagraph"/>
        <w:numPr>
          <w:ilvl w:val="3"/>
          <w:numId w:val="9"/>
        </w:numPr>
      </w:pPr>
      <w:r w:rsidRPr="00F9650D">
        <w:rPr>
          <w:rFonts w:cs="Times New Roman"/>
        </w:rPr>
        <w:lastRenderedPageBreak/>
        <w:t>In instances where</w:t>
      </w:r>
      <w:r>
        <w:rPr>
          <w:rFonts w:cs="Times New Roman"/>
        </w:rPr>
        <w:t xml:space="preserve"> work cannot be performed safe</w:t>
      </w:r>
      <w:r w:rsidR="00F91D43">
        <w:rPr>
          <w:rFonts w:cs="Times New Roman"/>
        </w:rPr>
        <w:t>t</w:t>
      </w:r>
      <w:r>
        <w:rPr>
          <w:rFonts w:cs="Times New Roman"/>
        </w:rPr>
        <w:t xml:space="preserve">y by adhering to the 6 ft. recommendation, all workers will be required to have cloth facial covering and/or </w:t>
      </w:r>
      <w:r w:rsidR="006230C2" w:rsidRPr="006230C2">
        <w:rPr>
          <w:rFonts w:eastAsia="Times New Roman"/>
        </w:rPr>
        <w:t>approved PPE</w:t>
      </w:r>
      <w:r w:rsidR="006230C2">
        <w:rPr>
          <w:rFonts w:cs="Times New Roman"/>
        </w:rPr>
        <w:t xml:space="preserve"> </w:t>
      </w:r>
      <w:r>
        <w:rPr>
          <w:rFonts w:cs="Times New Roman"/>
        </w:rPr>
        <w:t>mask, gloves and safe</w:t>
      </w:r>
      <w:r w:rsidR="00F91D43">
        <w:rPr>
          <w:rFonts w:cs="Times New Roman"/>
        </w:rPr>
        <w:t>t</w:t>
      </w:r>
      <w:r>
        <w:rPr>
          <w:rFonts w:cs="Times New Roman"/>
        </w:rPr>
        <w:t>y glasses/shields until they can return to being more than 6 ft. apart</w:t>
      </w:r>
    </w:p>
    <w:p w14:paraId="53BEC53B" w14:textId="428D8257" w:rsidR="00757107" w:rsidRDefault="00757107" w:rsidP="00757107">
      <w:pPr>
        <w:pStyle w:val="ListParagraph"/>
        <w:numPr>
          <w:ilvl w:val="2"/>
          <w:numId w:val="9"/>
        </w:numPr>
      </w:pPr>
      <w:r>
        <w:t>Week 4: Projects will maintain the commitment to keep workers at the 6 ft. recommended social distance</w:t>
      </w:r>
    </w:p>
    <w:p w14:paraId="2A66D002" w14:textId="404C4110" w:rsidR="00757107" w:rsidRPr="00757107" w:rsidRDefault="00757107" w:rsidP="00757107">
      <w:pPr>
        <w:pStyle w:val="ListParagraph"/>
        <w:numPr>
          <w:ilvl w:val="3"/>
          <w:numId w:val="9"/>
        </w:numPr>
      </w:pPr>
      <w:r w:rsidRPr="00F9650D">
        <w:rPr>
          <w:rFonts w:cs="Times New Roman"/>
        </w:rPr>
        <w:t>In instances where</w:t>
      </w:r>
      <w:r>
        <w:rPr>
          <w:rFonts w:cs="Times New Roman"/>
        </w:rPr>
        <w:t xml:space="preserve"> work cannot be performed safely by adhering to the 6 ft. recommendation, all workers will be required to have cloth facial covering and/or mask, gloves and safe</w:t>
      </w:r>
      <w:r w:rsidR="00F91D43">
        <w:rPr>
          <w:rFonts w:cs="Times New Roman"/>
        </w:rPr>
        <w:t>t</w:t>
      </w:r>
      <w:r>
        <w:rPr>
          <w:rFonts w:cs="Times New Roman"/>
        </w:rPr>
        <w:t>y glasses/shields until they can return to being more than 6 ft. apart</w:t>
      </w:r>
    </w:p>
    <w:p w14:paraId="6D0A71F3" w14:textId="77777777" w:rsidR="00757107" w:rsidRDefault="00757107" w:rsidP="00757107">
      <w:pPr>
        <w:pStyle w:val="ListParagraph"/>
        <w:ind w:left="2880"/>
      </w:pPr>
    </w:p>
    <w:p w14:paraId="641EBD69" w14:textId="77777777" w:rsidR="00757107" w:rsidRDefault="00757107" w:rsidP="00757107">
      <w:pPr>
        <w:pStyle w:val="ListParagraph"/>
        <w:numPr>
          <w:ilvl w:val="1"/>
          <w:numId w:val="9"/>
        </w:numPr>
      </w:pPr>
      <w:r>
        <w:t>For locations inside the Metropolitan Transportation Authority (MTA) and Metro North service area:</w:t>
      </w:r>
    </w:p>
    <w:p w14:paraId="0A553FBD" w14:textId="77777777" w:rsidR="00757107" w:rsidRDefault="00757107" w:rsidP="00757107">
      <w:pPr>
        <w:pStyle w:val="ListParagraph"/>
        <w:numPr>
          <w:ilvl w:val="2"/>
          <w:numId w:val="9"/>
        </w:numPr>
      </w:pPr>
      <w:r>
        <w:t>Week 1-2: There will not be more than one person for every 300 sq. feet of total project square footage based on work in place</w:t>
      </w:r>
    </w:p>
    <w:p w14:paraId="037AD9EE" w14:textId="799547F5" w:rsidR="00757107" w:rsidRDefault="00757107" w:rsidP="00757107">
      <w:pPr>
        <w:pStyle w:val="ListParagraph"/>
        <w:numPr>
          <w:ilvl w:val="3"/>
          <w:numId w:val="9"/>
        </w:numPr>
      </w:pPr>
      <w:r w:rsidRPr="00F9650D">
        <w:rPr>
          <w:rFonts w:cs="Times New Roman"/>
        </w:rPr>
        <w:t>In instances where</w:t>
      </w:r>
      <w:r>
        <w:rPr>
          <w:rFonts w:cs="Times New Roman"/>
        </w:rPr>
        <w:t xml:space="preserve"> work cannot be performed safely by adhering to the 6 ft. recommendation, all workers will be required to have cloth facial covering and/or </w:t>
      </w:r>
      <w:r w:rsidR="006230C2" w:rsidRPr="006230C2">
        <w:rPr>
          <w:rFonts w:eastAsia="Times New Roman"/>
        </w:rPr>
        <w:t>approved PPE</w:t>
      </w:r>
      <w:r w:rsidR="006230C2">
        <w:rPr>
          <w:rFonts w:cs="Times New Roman"/>
        </w:rPr>
        <w:t xml:space="preserve"> </w:t>
      </w:r>
      <w:r>
        <w:rPr>
          <w:rFonts w:cs="Times New Roman"/>
        </w:rPr>
        <w:t>mask, gloves and safe</w:t>
      </w:r>
      <w:r w:rsidR="00F91D43">
        <w:rPr>
          <w:rFonts w:cs="Times New Roman"/>
        </w:rPr>
        <w:t>t</w:t>
      </w:r>
      <w:r>
        <w:rPr>
          <w:rFonts w:cs="Times New Roman"/>
        </w:rPr>
        <w:t>y glasses/shields until they can return to being more than 6 ft. apart</w:t>
      </w:r>
    </w:p>
    <w:p w14:paraId="1B072FA4" w14:textId="1EB3433D" w:rsidR="00757107" w:rsidRDefault="00757107" w:rsidP="00757107">
      <w:pPr>
        <w:pStyle w:val="ListParagraph"/>
        <w:numPr>
          <w:ilvl w:val="2"/>
          <w:numId w:val="9"/>
        </w:numPr>
      </w:pPr>
      <w:r>
        <w:t>Week 3-4:</w:t>
      </w:r>
      <w:r w:rsidRPr="00C8476B">
        <w:t xml:space="preserve"> </w:t>
      </w:r>
      <w:r>
        <w:t>There will not be more than one person for every 200 sq. feet of total project square footage based on work in place</w:t>
      </w:r>
    </w:p>
    <w:p w14:paraId="7DBB788C" w14:textId="01E83D43" w:rsidR="00757107" w:rsidRDefault="00757107" w:rsidP="00757107">
      <w:pPr>
        <w:pStyle w:val="ListParagraph"/>
        <w:numPr>
          <w:ilvl w:val="3"/>
          <w:numId w:val="9"/>
        </w:numPr>
      </w:pPr>
      <w:r w:rsidRPr="00F9650D">
        <w:rPr>
          <w:rFonts w:cs="Times New Roman"/>
        </w:rPr>
        <w:t>In instances where</w:t>
      </w:r>
      <w:r>
        <w:rPr>
          <w:rFonts w:cs="Times New Roman"/>
        </w:rPr>
        <w:t xml:space="preserve"> work cannot be performed safely by adhering to the 6 ft. recommendation, all workers will be required to have </w:t>
      </w:r>
      <w:r w:rsidR="006230C2">
        <w:rPr>
          <w:rFonts w:cs="Times New Roman"/>
        </w:rPr>
        <w:t xml:space="preserve">cloth facial covering and/or </w:t>
      </w:r>
      <w:r w:rsidR="006230C2" w:rsidRPr="006230C2">
        <w:rPr>
          <w:rFonts w:eastAsia="Times New Roman"/>
        </w:rPr>
        <w:t>approved PPE</w:t>
      </w:r>
      <w:r w:rsidR="006230C2">
        <w:rPr>
          <w:rFonts w:cs="Times New Roman"/>
        </w:rPr>
        <w:t xml:space="preserve"> </w:t>
      </w:r>
      <w:r>
        <w:rPr>
          <w:rFonts w:cs="Times New Roman"/>
        </w:rPr>
        <w:t>masks, gloves and safe</w:t>
      </w:r>
      <w:r w:rsidR="00F91D43">
        <w:rPr>
          <w:rFonts w:cs="Times New Roman"/>
        </w:rPr>
        <w:t>t</w:t>
      </w:r>
      <w:r>
        <w:rPr>
          <w:rFonts w:cs="Times New Roman"/>
        </w:rPr>
        <w:t>y glasses/shields until they can return to being more than 6 ft. apart</w:t>
      </w:r>
    </w:p>
    <w:p w14:paraId="1C0C8820" w14:textId="5E274B1B" w:rsidR="00757107" w:rsidRDefault="00757107" w:rsidP="00757107">
      <w:pPr>
        <w:pStyle w:val="ListParagraph"/>
        <w:numPr>
          <w:ilvl w:val="2"/>
          <w:numId w:val="9"/>
        </w:numPr>
      </w:pPr>
      <w:r>
        <w:t>Week 5:  There will not be more than one person for every 100 sq. feet of total project square footage based on work in place</w:t>
      </w:r>
    </w:p>
    <w:p w14:paraId="717F69FF" w14:textId="4C16D7FE" w:rsidR="006230C2" w:rsidRDefault="006230C2" w:rsidP="006230C2">
      <w:pPr>
        <w:pStyle w:val="ListParagraph"/>
        <w:numPr>
          <w:ilvl w:val="3"/>
          <w:numId w:val="9"/>
        </w:numPr>
      </w:pPr>
      <w:r w:rsidRPr="00F9650D">
        <w:rPr>
          <w:rFonts w:cs="Times New Roman"/>
        </w:rPr>
        <w:t>In instances where</w:t>
      </w:r>
      <w:r>
        <w:rPr>
          <w:rFonts w:cs="Times New Roman"/>
        </w:rPr>
        <w:t xml:space="preserve"> work cannot be performed safely by adhering to the 6 ft. recommendation, all workers will be required to have cloth facial covering and/or </w:t>
      </w:r>
      <w:r w:rsidRPr="006230C2">
        <w:rPr>
          <w:rFonts w:eastAsia="Times New Roman"/>
        </w:rPr>
        <w:t>approved PPE</w:t>
      </w:r>
      <w:r>
        <w:rPr>
          <w:rFonts w:cs="Times New Roman"/>
        </w:rPr>
        <w:t xml:space="preserve"> masks, gloves and safe</w:t>
      </w:r>
      <w:r w:rsidR="00F91D43">
        <w:rPr>
          <w:rFonts w:cs="Times New Roman"/>
        </w:rPr>
        <w:t>t</w:t>
      </w:r>
      <w:r>
        <w:rPr>
          <w:rFonts w:cs="Times New Roman"/>
        </w:rPr>
        <w:t>y glasses/shields until they can return to being more than 6 ft. apart</w:t>
      </w:r>
    </w:p>
    <w:p w14:paraId="5EA9CBBB" w14:textId="3E28472D" w:rsidR="00B119C0" w:rsidRDefault="00B119C0" w:rsidP="00B119C0">
      <w:pPr>
        <w:pStyle w:val="ListParagraph"/>
        <w:numPr>
          <w:ilvl w:val="2"/>
          <w:numId w:val="9"/>
        </w:numPr>
      </w:pPr>
      <w:r>
        <w:t>Week 6: Projects will maintain the commitment to keep workers at the 6 ft. recommended social distance</w:t>
      </w:r>
    </w:p>
    <w:bookmarkEnd w:id="0"/>
    <w:p w14:paraId="40125805" w14:textId="10CA8621" w:rsidR="006230C2" w:rsidRDefault="006230C2" w:rsidP="006230C2">
      <w:pPr>
        <w:pStyle w:val="ListParagraph"/>
        <w:numPr>
          <w:ilvl w:val="3"/>
          <w:numId w:val="9"/>
        </w:numPr>
      </w:pPr>
      <w:r w:rsidRPr="00F9650D">
        <w:rPr>
          <w:rFonts w:cs="Times New Roman"/>
        </w:rPr>
        <w:t>In instances where</w:t>
      </w:r>
      <w:r>
        <w:rPr>
          <w:rFonts w:cs="Times New Roman"/>
        </w:rPr>
        <w:t xml:space="preserve"> work cannot be performed safely by adhering to the 6 ft. recommendation, all workers will be required to have cloth facial covering and/or </w:t>
      </w:r>
      <w:r w:rsidRPr="006230C2">
        <w:rPr>
          <w:rFonts w:eastAsia="Times New Roman"/>
        </w:rPr>
        <w:t>approved PPE</w:t>
      </w:r>
      <w:r>
        <w:rPr>
          <w:rFonts w:cs="Times New Roman"/>
        </w:rPr>
        <w:t xml:space="preserve"> masks, gloves and safe</w:t>
      </w:r>
      <w:r w:rsidR="00F91D43">
        <w:rPr>
          <w:rFonts w:cs="Times New Roman"/>
        </w:rPr>
        <w:t>t</w:t>
      </w:r>
      <w:r>
        <w:rPr>
          <w:rFonts w:cs="Times New Roman"/>
        </w:rPr>
        <w:t>y glasses/shields until they can return to being more than 6 ft. apart</w:t>
      </w:r>
    </w:p>
    <w:p w14:paraId="38E9B16C" w14:textId="77777777" w:rsidR="001B4157" w:rsidRDefault="001B4157" w:rsidP="00084828"/>
    <w:sectPr w:rsidR="001B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282"/>
    <w:multiLevelType w:val="hybridMultilevel"/>
    <w:tmpl w:val="F4E82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B566C"/>
    <w:multiLevelType w:val="hybridMultilevel"/>
    <w:tmpl w:val="F36E667C"/>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 w15:restartNumberingAfterBreak="0">
    <w:nsid w:val="09E951A7"/>
    <w:multiLevelType w:val="hybridMultilevel"/>
    <w:tmpl w:val="7C3EB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211A8F"/>
    <w:multiLevelType w:val="hybridMultilevel"/>
    <w:tmpl w:val="44026C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1364D"/>
    <w:multiLevelType w:val="hybridMultilevel"/>
    <w:tmpl w:val="CEBEF0CE"/>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5" w15:restartNumberingAfterBreak="0">
    <w:nsid w:val="1D267AE7"/>
    <w:multiLevelType w:val="hybridMultilevel"/>
    <w:tmpl w:val="5CDE4E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E5A41"/>
    <w:multiLevelType w:val="hybridMultilevel"/>
    <w:tmpl w:val="637AB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D69C6"/>
    <w:multiLevelType w:val="hybridMultilevel"/>
    <w:tmpl w:val="4CBC3F98"/>
    <w:lvl w:ilvl="0" w:tplc="04090019">
      <w:start w:val="1"/>
      <w:numFmt w:val="lowerLetter"/>
      <w:lvlText w:val="%1."/>
      <w:lvlJc w:val="left"/>
      <w:pPr>
        <w:ind w:left="1576" w:hanging="360"/>
      </w:pPr>
      <w:rPr>
        <w:rFonts w:hint="default"/>
      </w:rPr>
    </w:lvl>
    <w:lvl w:ilvl="1" w:tplc="04090003">
      <w:start w:val="1"/>
      <w:numFmt w:val="bullet"/>
      <w:lvlText w:val="o"/>
      <w:lvlJc w:val="left"/>
      <w:pPr>
        <w:ind w:left="2296" w:hanging="360"/>
      </w:pPr>
      <w:rPr>
        <w:rFonts w:ascii="Courier New" w:hAnsi="Courier New" w:cs="Courier New" w:hint="default"/>
      </w:rPr>
    </w:lvl>
    <w:lvl w:ilvl="2" w:tplc="04090005">
      <w:start w:val="1"/>
      <w:numFmt w:val="bullet"/>
      <w:lvlText w:val=""/>
      <w:lvlJc w:val="left"/>
      <w:pPr>
        <w:ind w:left="3016" w:hanging="360"/>
      </w:pPr>
      <w:rPr>
        <w:rFonts w:ascii="Wingdings" w:hAnsi="Wingdings" w:hint="default"/>
      </w:rPr>
    </w:lvl>
    <w:lvl w:ilvl="3" w:tplc="04090001">
      <w:start w:val="1"/>
      <w:numFmt w:val="bullet"/>
      <w:lvlText w:val=""/>
      <w:lvlJc w:val="left"/>
      <w:pPr>
        <w:ind w:left="3736" w:hanging="360"/>
      </w:pPr>
      <w:rPr>
        <w:rFonts w:ascii="Symbol" w:hAnsi="Symbol" w:hint="default"/>
      </w:rPr>
    </w:lvl>
    <w:lvl w:ilvl="4" w:tplc="04090003">
      <w:start w:val="1"/>
      <w:numFmt w:val="bullet"/>
      <w:lvlText w:val="o"/>
      <w:lvlJc w:val="left"/>
      <w:pPr>
        <w:ind w:left="4456" w:hanging="360"/>
      </w:pPr>
      <w:rPr>
        <w:rFonts w:ascii="Courier New" w:hAnsi="Courier New" w:cs="Courier New" w:hint="default"/>
      </w:rPr>
    </w:lvl>
    <w:lvl w:ilvl="5" w:tplc="04090005">
      <w:start w:val="1"/>
      <w:numFmt w:val="bullet"/>
      <w:lvlText w:val=""/>
      <w:lvlJc w:val="left"/>
      <w:pPr>
        <w:ind w:left="5176" w:hanging="360"/>
      </w:pPr>
      <w:rPr>
        <w:rFonts w:ascii="Wingdings" w:hAnsi="Wingdings" w:hint="default"/>
      </w:rPr>
    </w:lvl>
    <w:lvl w:ilvl="6" w:tplc="04090001">
      <w:start w:val="1"/>
      <w:numFmt w:val="bullet"/>
      <w:lvlText w:val=""/>
      <w:lvlJc w:val="left"/>
      <w:pPr>
        <w:ind w:left="5896" w:hanging="360"/>
      </w:pPr>
      <w:rPr>
        <w:rFonts w:ascii="Symbol" w:hAnsi="Symbol" w:hint="default"/>
      </w:rPr>
    </w:lvl>
    <w:lvl w:ilvl="7" w:tplc="04090003">
      <w:start w:val="1"/>
      <w:numFmt w:val="bullet"/>
      <w:lvlText w:val="o"/>
      <w:lvlJc w:val="left"/>
      <w:pPr>
        <w:ind w:left="6616" w:hanging="360"/>
      </w:pPr>
      <w:rPr>
        <w:rFonts w:ascii="Courier New" w:hAnsi="Courier New" w:cs="Courier New" w:hint="default"/>
      </w:rPr>
    </w:lvl>
    <w:lvl w:ilvl="8" w:tplc="04090005">
      <w:start w:val="1"/>
      <w:numFmt w:val="bullet"/>
      <w:lvlText w:val=""/>
      <w:lvlJc w:val="left"/>
      <w:pPr>
        <w:ind w:left="7336" w:hanging="360"/>
      </w:pPr>
      <w:rPr>
        <w:rFonts w:ascii="Wingdings" w:hAnsi="Wingdings" w:hint="default"/>
      </w:rPr>
    </w:lvl>
  </w:abstractNum>
  <w:abstractNum w:abstractNumId="8" w15:restartNumberingAfterBreak="0">
    <w:nsid w:val="3F7947EC"/>
    <w:multiLevelType w:val="hybridMultilevel"/>
    <w:tmpl w:val="E1D2DD7E"/>
    <w:lvl w:ilvl="0" w:tplc="04090019">
      <w:start w:val="1"/>
      <w:numFmt w:val="lowerLetter"/>
      <w:lvlText w:val="%1."/>
      <w:lvlJc w:val="left"/>
      <w:pPr>
        <w:ind w:left="153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40F000F5"/>
    <w:multiLevelType w:val="hybridMultilevel"/>
    <w:tmpl w:val="B27C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46D1A"/>
    <w:multiLevelType w:val="hybridMultilevel"/>
    <w:tmpl w:val="9ACA9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B377E"/>
    <w:multiLevelType w:val="hybridMultilevel"/>
    <w:tmpl w:val="34A85D6A"/>
    <w:lvl w:ilvl="0" w:tplc="1AB6265E">
      <w:start w:val="9"/>
      <w:numFmt w:val="bullet"/>
      <w:lvlText w:val="•"/>
      <w:lvlJc w:val="left"/>
      <w:pPr>
        <w:ind w:left="1217" w:hanging="360"/>
      </w:pPr>
      <w:rPr>
        <w:rFonts w:ascii="Calibri" w:eastAsiaTheme="minorHAnsi" w:hAnsi="Calibri" w:cs="Calibri"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12" w15:restartNumberingAfterBreak="0">
    <w:nsid w:val="5A7D39B1"/>
    <w:multiLevelType w:val="hybridMultilevel"/>
    <w:tmpl w:val="129EAE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779F5"/>
    <w:multiLevelType w:val="hybridMultilevel"/>
    <w:tmpl w:val="EF843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808AD"/>
    <w:multiLevelType w:val="hybridMultilevel"/>
    <w:tmpl w:val="1F0A1436"/>
    <w:lvl w:ilvl="0" w:tplc="04090017">
      <w:start w:val="1"/>
      <w:numFmt w:val="lowerLetter"/>
      <w:lvlText w:val="%1)"/>
      <w:lvlJc w:val="left"/>
      <w:pPr>
        <w:ind w:left="153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15:restartNumberingAfterBreak="0">
    <w:nsid w:val="5F9A61FB"/>
    <w:multiLevelType w:val="hybridMultilevel"/>
    <w:tmpl w:val="51E66070"/>
    <w:lvl w:ilvl="0" w:tplc="04090001">
      <w:start w:val="1"/>
      <w:numFmt w:val="bullet"/>
      <w:lvlText w:val=""/>
      <w:lvlJc w:val="left"/>
      <w:pPr>
        <w:ind w:left="1576" w:hanging="360"/>
      </w:pPr>
      <w:rPr>
        <w:rFonts w:ascii="Symbol" w:hAnsi="Symbol" w:hint="default"/>
      </w:rPr>
    </w:lvl>
    <w:lvl w:ilvl="1" w:tplc="04090003">
      <w:start w:val="1"/>
      <w:numFmt w:val="bullet"/>
      <w:lvlText w:val="o"/>
      <w:lvlJc w:val="left"/>
      <w:pPr>
        <w:ind w:left="2296" w:hanging="360"/>
      </w:pPr>
      <w:rPr>
        <w:rFonts w:ascii="Courier New" w:hAnsi="Courier New" w:cs="Courier New" w:hint="default"/>
      </w:rPr>
    </w:lvl>
    <w:lvl w:ilvl="2" w:tplc="04090005">
      <w:start w:val="1"/>
      <w:numFmt w:val="bullet"/>
      <w:lvlText w:val=""/>
      <w:lvlJc w:val="left"/>
      <w:pPr>
        <w:ind w:left="3016" w:hanging="360"/>
      </w:pPr>
      <w:rPr>
        <w:rFonts w:ascii="Wingdings" w:hAnsi="Wingdings" w:hint="default"/>
      </w:rPr>
    </w:lvl>
    <w:lvl w:ilvl="3" w:tplc="04090001">
      <w:start w:val="1"/>
      <w:numFmt w:val="bullet"/>
      <w:lvlText w:val=""/>
      <w:lvlJc w:val="left"/>
      <w:pPr>
        <w:ind w:left="3736" w:hanging="360"/>
      </w:pPr>
      <w:rPr>
        <w:rFonts w:ascii="Symbol" w:hAnsi="Symbol" w:hint="default"/>
      </w:rPr>
    </w:lvl>
    <w:lvl w:ilvl="4" w:tplc="04090003">
      <w:start w:val="1"/>
      <w:numFmt w:val="bullet"/>
      <w:lvlText w:val="o"/>
      <w:lvlJc w:val="left"/>
      <w:pPr>
        <w:ind w:left="4456" w:hanging="360"/>
      </w:pPr>
      <w:rPr>
        <w:rFonts w:ascii="Courier New" w:hAnsi="Courier New" w:cs="Courier New" w:hint="default"/>
      </w:rPr>
    </w:lvl>
    <w:lvl w:ilvl="5" w:tplc="04090005">
      <w:start w:val="1"/>
      <w:numFmt w:val="bullet"/>
      <w:lvlText w:val=""/>
      <w:lvlJc w:val="left"/>
      <w:pPr>
        <w:ind w:left="5176" w:hanging="360"/>
      </w:pPr>
      <w:rPr>
        <w:rFonts w:ascii="Wingdings" w:hAnsi="Wingdings" w:hint="default"/>
      </w:rPr>
    </w:lvl>
    <w:lvl w:ilvl="6" w:tplc="04090001">
      <w:start w:val="1"/>
      <w:numFmt w:val="bullet"/>
      <w:lvlText w:val=""/>
      <w:lvlJc w:val="left"/>
      <w:pPr>
        <w:ind w:left="5896" w:hanging="360"/>
      </w:pPr>
      <w:rPr>
        <w:rFonts w:ascii="Symbol" w:hAnsi="Symbol" w:hint="default"/>
      </w:rPr>
    </w:lvl>
    <w:lvl w:ilvl="7" w:tplc="04090003">
      <w:start w:val="1"/>
      <w:numFmt w:val="bullet"/>
      <w:lvlText w:val="o"/>
      <w:lvlJc w:val="left"/>
      <w:pPr>
        <w:ind w:left="6616" w:hanging="360"/>
      </w:pPr>
      <w:rPr>
        <w:rFonts w:ascii="Courier New" w:hAnsi="Courier New" w:cs="Courier New" w:hint="default"/>
      </w:rPr>
    </w:lvl>
    <w:lvl w:ilvl="8" w:tplc="04090005">
      <w:start w:val="1"/>
      <w:numFmt w:val="bullet"/>
      <w:lvlText w:val=""/>
      <w:lvlJc w:val="left"/>
      <w:pPr>
        <w:ind w:left="7336" w:hanging="360"/>
      </w:pPr>
      <w:rPr>
        <w:rFonts w:ascii="Wingdings" w:hAnsi="Wingdings" w:hint="default"/>
      </w:rPr>
    </w:lvl>
  </w:abstractNum>
  <w:abstractNum w:abstractNumId="16" w15:restartNumberingAfterBreak="0">
    <w:nsid w:val="63B615F0"/>
    <w:multiLevelType w:val="hybridMultilevel"/>
    <w:tmpl w:val="80362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44FF4"/>
    <w:multiLevelType w:val="hybridMultilevel"/>
    <w:tmpl w:val="F3FCC07E"/>
    <w:lvl w:ilvl="0" w:tplc="0409000B">
      <w:start w:val="1"/>
      <w:numFmt w:val="bullet"/>
      <w:lvlText w:val=""/>
      <w:lvlJc w:val="left"/>
      <w:pPr>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8" w15:restartNumberingAfterBreak="0">
    <w:nsid w:val="763B75B8"/>
    <w:multiLevelType w:val="hybridMultilevel"/>
    <w:tmpl w:val="6608DBD8"/>
    <w:lvl w:ilvl="0" w:tplc="04090019">
      <w:start w:val="1"/>
      <w:numFmt w:val="lowerLetter"/>
      <w:lvlText w:val="%1."/>
      <w:lvlJc w:val="lef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15:restartNumberingAfterBreak="0">
    <w:nsid w:val="770547C8"/>
    <w:multiLevelType w:val="hybridMultilevel"/>
    <w:tmpl w:val="F78E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A4549"/>
    <w:multiLevelType w:val="hybridMultilevel"/>
    <w:tmpl w:val="72906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19"/>
  </w:num>
  <w:num w:numId="5">
    <w:abstractNumId w:val="20"/>
  </w:num>
  <w:num w:numId="6">
    <w:abstractNumId w:val="6"/>
  </w:num>
  <w:num w:numId="7">
    <w:abstractNumId w:val="10"/>
  </w:num>
  <w:num w:numId="8">
    <w:abstractNumId w:val="4"/>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7"/>
  </w:num>
  <w:num w:numId="14">
    <w:abstractNumId w:val="15"/>
  </w:num>
  <w:num w:numId="15">
    <w:abstractNumId w:val="14"/>
  </w:num>
  <w:num w:numId="16">
    <w:abstractNumId w:val="1"/>
  </w:num>
  <w:num w:numId="17">
    <w:abstractNumId w:val="17"/>
  </w:num>
  <w:num w:numId="18">
    <w:abstractNumId w:val="8"/>
  </w:num>
  <w:num w:numId="19">
    <w:abstractNumId w:val="12"/>
  </w:num>
  <w:num w:numId="20">
    <w:abstractNumId w:val="18"/>
  </w:num>
  <w:num w:numId="21">
    <w:abstractNumId w:val="3"/>
  </w:num>
  <w:num w:numId="22">
    <w:abstractNumId w:val="0"/>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28"/>
    <w:rsid w:val="00084828"/>
    <w:rsid w:val="0014161C"/>
    <w:rsid w:val="001B4157"/>
    <w:rsid w:val="00285D99"/>
    <w:rsid w:val="003D29F0"/>
    <w:rsid w:val="00460367"/>
    <w:rsid w:val="00557533"/>
    <w:rsid w:val="005B5829"/>
    <w:rsid w:val="00601644"/>
    <w:rsid w:val="006230C2"/>
    <w:rsid w:val="00757107"/>
    <w:rsid w:val="007576C0"/>
    <w:rsid w:val="008131CF"/>
    <w:rsid w:val="008260C0"/>
    <w:rsid w:val="009374E9"/>
    <w:rsid w:val="00947F5C"/>
    <w:rsid w:val="009E7180"/>
    <w:rsid w:val="009F4CAA"/>
    <w:rsid w:val="00A71FFA"/>
    <w:rsid w:val="00AA0D3A"/>
    <w:rsid w:val="00B119C0"/>
    <w:rsid w:val="00B60207"/>
    <w:rsid w:val="00C8476B"/>
    <w:rsid w:val="00C851C7"/>
    <w:rsid w:val="00DA34ED"/>
    <w:rsid w:val="00F354B2"/>
    <w:rsid w:val="00F3604E"/>
    <w:rsid w:val="00F6634A"/>
    <w:rsid w:val="00F91D43"/>
    <w:rsid w:val="00FB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E2E6"/>
  <w15:chartTrackingRefBased/>
  <w15:docId w15:val="{20C6635D-0C9E-4328-B4AD-0A69A43D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48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84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9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Sampson</dc:creator>
  <cp:keywords/>
  <dc:description/>
  <cp:lastModifiedBy>Brian Sampson</cp:lastModifiedBy>
  <cp:revision>2</cp:revision>
  <dcterms:created xsi:type="dcterms:W3CDTF">2020-04-27T12:18:00Z</dcterms:created>
  <dcterms:modified xsi:type="dcterms:W3CDTF">2020-04-27T12:18:00Z</dcterms:modified>
</cp:coreProperties>
</file>